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891FE2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1FE2" w:rsidRDefault="0023231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891FE2" w:rsidRDefault="0023231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891FE2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</w:tr>
      <w:tr w:rsidR="00891FE2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891FE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891FE2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891FE2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Код субъекта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бюджетной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891FE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</w:tr>
      <w:tr w:rsidR="00891FE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00073625</w:t>
            </w:r>
          </w:p>
        </w:tc>
      </w:tr>
      <w:tr w:rsidR="00891FE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</w:tr>
      <w:tr w:rsidR="00891FE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0"/>
              </w:rPr>
            </w:pPr>
          </w:p>
        </w:tc>
      </w:tr>
      <w:tr w:rsidR="00891FE2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Рязанская областная Дума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530</w:t>
            </w:r>
          </w:p>
        </w:tc>
      </w:tr>
      <w:tr w:rsidR="00891FE2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</w:tr>
      <w:tr w:rsidR="00891FE2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Областной бюджет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891FE2" w:rsidRDefault="00232317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61701000</w:t>
            </w:r>
          </w:p>
        </w:tc>
      </w:tr>
      <w:tr w:rsidR="00891FE2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</w:tr>
      <w:tr w:rsidR="00891FE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891FE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</w:tr>
      <w:tr w:rsidR="00891FE2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</w:tr>
    </w:tbl>
    <w:p w:rsidR="00891FE2" w:rsidRDefault="00232317">
      <w:pPr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 xml:space="preserve">1. Организационная структура субъекта </w:t>
      </w:r>
      <w:proofErr w:type="gramStart"/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бюджетной</w:t>
      </w:r>
      <w:proofErr w:type="gramEnd"/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 xml:space="preserve"> отчетности.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  <w:r>
        <w:rPr>
          <w:rFonts w:ascii="DejaVu Serif" w:eastAsia="DejaVu Serif" w:hAnsi="DejaVu Serif" w:cs="DejaVu Serif"/>
          <w:color w:val="000000"/>
          <w:sz w:val="26"/>
          <w:szCs w:val="26"/>
        </w:rPr>
        <w:t> В соответствии</w:t>
      </w:r>
      <w:r>
        <w:rPr>
          <w:rFonts w:ascii="DejaVu Serif" w:eastAsia="DejaVu Serif" w:hAnsi="DejaVu Serif" w:cs="DejaVu Serif"/>
          <w:color w:val="000000"/>
          <w:sz w:val="26"/>
          <w:szCs w:val="26"/>
        </w:rPr>
        <w:t xml:space="preserve"> с Уставом (Основным законом) Рязанской области от 18.11.2005 № 115-ОЗ (ст. 28-45) законодательная власть в Рязанской области осуществляется выборным (представительным) органом государственной власти – Рязанской областной Думой. Рязанская областная Дума со</w:t>
      </w:r>
      <w:r>
        <w:rPr>
          <w:rFonts w:ascii="DejaVu Serif" w:eastAsia="DejaVu Serif" w:hAnsi="DejaVu Serif" w:cs="DejaVu Serif"/>
          <w:color w:val="000000"/>
          <w:sz w:val="26"/>
          <w:szCs w:val="26"/>
        </w:rPr>
        <w:t>стоит из 40 депутатов. Число депутатов, работающих на профессиональной основе, в соответствии с законом Рязанской области от 25.06.2010 № 57-ОЗ «О статусе депутата Рязанской областной Думы» составляет 12 человек. Рязанская областная Дума обладает правами ю</w:t>
      </w:r>
      <w:r>
        <w:rPr>
          <w:rFonts w:ascii="DejaVu Serif" w:eastAsia="DejaVu Serif" w:hAnsi="DejaVu Serif" w:cs="DejaVu Serif"/>
          <w:color w:val="000000"/>
          <w:sz w:val="26"/>
          <w:szCs w:val="26"/>
        </w:rPr>
        <w:t>ридического лица, имеет гербовую печать.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 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 xml:space="preserve">2. Результаты деятельности субъекта бюджетной отчетности. 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lastRenderedPageBreak/>
        <w:t> К результатам деятельности Рязанской областной Думы за 2025 год относятся следующие основные моменты: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О ежегодном 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отчете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о результатах деятельности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Правительства Рязанской области за 2024 год, представленном Губернатором Рязанской области;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Об отчете начальника УМВД России по Рязанской области перед Рязанской областной Думой за 2024 год;    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О внесении изменений в Закон Рязанской области "Об областном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бюджете на 2025 год и на плановый период 2026 и 2027 годов";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О рекомендациях и поручении по итогам проведения в Рязанской областной Думе "правительственного часа" на тему "Лекарственное обеспечение в Рязанской области";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О введении в действие на территории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Рязанской области специального налогового режима "Автоматизированная упрощенная система налогообложения";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О проекте постановления Рязанской областной Думы "О назначении выборов депутатов Рязанской областной Думы";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О критериях, которым должны соответствов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ать объекты социально-культурного и коммунально-бытового назначения, масштабные инвестиционные проекты в целях предоставления земельных участков в аренду без проведения торгов;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О </w:t>
      </w:r>
      <w:proofErr w:type="spellStart"/>
      <w:r>
        <w:rPr>
          <w:rFonts w:ascii="DejaVu Serif" w:eastAsia="DejaVu Serif" w:hAnsi="DejaVu Serif" w:cs="DejaVu Serif"/>
          <w:color w:val="000000"/>
          <w:sz w:val="28"/>
          <w:szCs w:val="28"/>
        </w:rPr>
        <w:t>постинтернатном</w:t>
      </w:r>
      <w:proofErr w:type="spell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сопровождении выпускников организаций для детей-сирот и детей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, оставшихся без попечения родителей и о признании утратившим силу законодательного акта (положения законодательного акта) Рязанской области;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Об исполнении областного бюджета за 2024 год; 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Об областном бюджете на 2026 год и на плановый период 2027 и 2028 г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одов;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Об установлении коэффициента, отражающего региональные особенности рынка труда Рязанской области, на 2026 год;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О поручении Рязанской областной Думы по включению мероприятий в план работы Контрольно-счетной палаты Рязанской области на 2026 год;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По со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стоянию на 01.01.2026г. численность работников Рязанской областной Думы 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согласно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штатного расписания составляет 129 единиц, в </w:t>
      </w:r>
      <w:proofErr w:type="spellStart"/>
      <w:r>
        <w:rPr>
          <w:rFonts w:ascii="DejaVu Serif" w:eastAsia="DejaVu Serif" w:hAnsi="DejaVu Serif" w:cs="DejaVu Serif"/>
          <w:color w:val="000000"/>
          <w:sz w:val="28"/>
          <w:szCs w:val="28"/>
        </w:rPr>
        <w:t>т.ч</w:t>
      </w:r>
      <w:proofErr w:type="spell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. 12 депутатов, работающих на профессиональной основе, 76 –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lastRenderedPageBreak/>
        <w:t>государственных гражданских служащих, 1 - специалист, 40 - помощник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ов депутатов Рязанской областной Думы, не являющихся государственными гражданскими служащими.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На 01.01.2026 года вакансии отсутствуют. </w:t>
      </w:r>
    </w:p>
    <w:p w:rsidR="00891FE2" w:rsidRDefault="00232317">
      <w:pPr>
        <w:ind w:firstLine="700"/>
        <w:jc w:val="both"/>
        <w:rPr>
          <w:color w:val="000000"/>
        </w:rPr>
      </w:pP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В соответствии с Законом Рязанской области от 24.12.2024 № 111-ОЗ "Об областном бюджете на 2025 год и на плановый период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2026 и 2027 годов", уведомлениями министерства финансов Рязанской области о лимитах бюджетных обязательств областного бюджета на 2025 год и на плановый период 2026 и 2027 годов от 25.12.2024 № ДН/14-4540, от 11.03.2025 № 1, от 06.10.2025 № 513, 15.10.2025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№ 570, от 19.12.2025 № 747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, Рязанской областной Думе доведено 342 525 721,99 руб. 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В целях повышения эффективности расходования бюджетных средств были изданы распоряжения:</w:t>
      </w:r>
    </w:p>
    <w:p w:rsidR="00891FE2" w:rsidRDefault="00232317">
      <w:pPr>
        <w:numPr>
          <w:ilvl w:val="0"/>
          <w:numId w:val="1"/>
        </w:numPr>
        <w:ind w:left="42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«Об осуществлении полномочий администратора доходов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областного бюджета»;</w:t>
      </w:r>
    </w:p>
    <w:p w:rsidR="00891FE2" w:rsidRDefault="00232317">
      <w:pPr>
        <w:numPr>
          <w:ilvl w:val="0"/>
          <w:numId w:val="2"/>
        </w:numPr>
        <w:ind w:left="42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«О внесен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ии изменений в распоряжение Председателя Рязанской</w:t>
      </w:r>
    </w:p>
    <w:p w:rsidR="00891FE2" w:rsidRDefault="00232317">
      <w:pPr>
        <w:ind w:left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областной Думы «Об утверждении Регламента реализации Рязанской областной Думой полномочий администратора доходов областного бюджета по взысканию дебиторской задолженности по платежам в бюджет, пеням и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штрафам по ним».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В результате проведенных закупочных процедур в пределах лимитов бюджетных обязательств 2025 года на 01.01.2026 года заключено 187 государственных контрактов (из них 76 с применением конкурентных способов). 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Сумма принимаемых обязательств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(с применением конкурентных способов) составила 108 390 024,50 руб.: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на 2025 год – 96 306 010,68 руб.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на 2026 год – 12 084 013,82 руб.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Сумма принятых обязательств (с применением конкурентных способов) составила 100 651 658,49 руб.: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на 2025 год – 91 326 35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9,85 руб.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на 2026 год – 9 325 298,64 руб.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Сумма экономии составила 5 081 376,71 руб.: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на 2025 год – 4 979 650,83 руб. 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lastRenderedPageBreak/>
        <w:t>на 2026 год – 101 725,88 руб.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Не завершена процедура торгов на 2026 год (принимаемые обязательства) на сумму 2 656 989,30 руб.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 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 xml:space="preserve"> 3. Анализ отчёта об исполнении бюджета субъектом </w:t>
      </w:r>
      <w:proofErr w:type="gramStart"/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бюджетной</w:t>
      </w:r>
      <w:proofErr w:type="gramEnd"/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 xml:space="preserve"> отчетности. 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Бюджетные ассигнования на обеспечение деятельности РОД предусматриваются в областном бюджете в соответствии с бюджетной классификацией РФ по следующим видам:</w:t>
      </w:r>
    </w:p>
    <w:p w:rsidR="00891FE2" w:rsidRDefault="00232317">
      <w:pPr>
        <w:numPr>
          <w:ilvl w:val="0"/>
          <w:numId w:val="3"/>
        </w:numPr>
        <w:ind w:left="720" w:hanging="36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193 970 213,83 руб. – Це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нтральный аппарат; </w:t>
      </w:r>
    </w:p>
    <w:p w:rsidR="00891FE2" w:rsidRDefault="00232317">
      <w:pPr>
        <w:numPr>
          <w:ilvl w:val="0"/>
          <w:numId w:val="3"/>
        </w:numPr>
        <w:ind w:left="720" w:hanging="360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59 100 481,47 руб. – Депутаты законодательного органа субъекта Российской Федерации; </w:t>
      </w:r>
    </w:p>
    <w:p w:rsidR="00891FE2" w:rsidRDefault="00232317">
      <w:pPr>
        <w:numPr>
          <w:ilvl w:val="0"/>
          <w:numId w:val="3"/>
        </w:numPr>
        <w:ind w:left="720" w:hanging="360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9 953 000,00 руб. – Освещение деятельности органов государственной власти Рязанской области в средствах массовой информации, печатных изданиях, в инфо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рмационно-телекоммуникационной сети "Интернет" и др.;</w:t>
      </w:r>
    </w:p>
    <w:p w:rsidR="00891FE2" w:rsidRDefault="00232317">
      <w:pPr>
        <w:numPr>
          <w:ilvl w:val="0"/>
          <w:numId w:val="3"/>
        </w:numPr>
        <w:ind w:left="720" w:hanging="36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3 249 840,00 руб. – Сенаторы Совета Федерации и их помощники;</w:t>
      </w:r>
    </w:p>
    <w:p w:rsidR="00891FE2" w:rsidRDefault="00232317">
      <w:pPr>
        <w:numPr>
          <w:ilvl w:val="0"/>
          <w:numId w:val="3"/>
        </w:numPr>
        <w:ind w:left="720" w:hanging="36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4 721 723,68 руб. – Выполнение других обязательств Рязанской области; </w:t>
      </w:r>
    </w:p>
    <w:p w:rsidR="00891FE2" w:rsidRDefault="00232317">
      <w:pPr>
        <w:numPr>
          <w:ilvl w:val="0"/>
          <w:numId w:val="3"/>
        </w:numPr>
        <w:ind w:left="720" w:hanging="36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137 958,04 руб. – Оплата информационно-статистических услуг, а также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услуг по подписке и доставке периодических печатных изданий;</w:t>
      </w:r>
    </w:p>
    <w:p w:rsidR="00891FE2" w:rsidRDefault="00232317">
      <w:pPr>
        <w:numPr>
          <w:ilvl w:val="0"/>
          <w:numId w:val="3"/>
        </w:numPr>
        <w:ind w:left="720" w:hanging="36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146 607,97 руб. – Профессиональная подготовка, переподготовка и повышение квалификации;</w:t>
      </w:r>
    </w:p>
    <w:p w:rsidR="00891FE2" w:rsidRDefault="00232317">
      <w:pPr>
        <w:numPr>
          <w:ilvl w:val="0"/>
          <w:numId w:val="4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69 501 897,00 руб. – Обеспечение государственных органов Рязанской области компьютерным оборудованием,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оргтехникой, правами использования программного обеспечения для электронных вычислительных машин и баз данных, а также техническими и программными средствами для их функционирования, оказание информационных услуг и услуг по технической поддержке программно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го обеспечения, техническому обслуживанию и ремонту компьютерного оборудования и оргтехники;</w:t>
      </w:r>
    </w:p>
    <w:p w:rsidR="00891FE2" w:rsidRDefault="00232317">
      <w:pPr>
        <w:numPr>
          <w:ilvl w:val="0"/>
          <w:numId w:val="4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200 000,00 руб. – Финансовое обеспечение деятельности Молодежного парламента при Рязанской областной Думе;</w:t>
      </w:r>
    </w:p>
    <w:p w:rsidR="00891FE2" w:rsidRDefault="00232317">
      <w:pPr>
        <w:numPr>
          <w:ilvl w:val="0"/>
          <w:numId w:val="4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1 544 000,00 руб. – Обеспечение 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визитов делегаций органо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в государственной власти субъекта Российской Федерации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за рубеж.</w:t>
      </w:r>
    </w:p>
    <w:p w:rsidR="00891FE2" w:rsidRDefault="00232317">
      <w:pPr>
        <w:ind w:left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Исполнено на 01.01.2026 г. через финансовый орган 339 423 635,61 руб.,  </w:t>
      </w:r>
      <w:proofErr w:type="spellStart"/>
      <w:r>
        <w:rPr>
          <w:rFonts w:ascii="DejaVu Serif" w:eastAsia="DejaVu Serif" w:hAnsi="DejaVu Serif" w:cs="DejaVu Serif"/>
          <w:color w:val="000000"/>
          <w:sz w:val="28"/>
          <w:szCs w:val="28"/>
        </w:rPr>
        <w:t>т.ч</w:t>
      </w:r>
      <w:proofErr w:type="spell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.: 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lastRenderedPageBreak/>
        <w:t> </w:t>
      </w:r>
    </w:p>
    <w:p w:rsidR="00891FE2" w:rsidRDefault="00232317">
      <w:pPr>
        <w:numPr>
          <w:ilvl w:val="0"/>
          <w:numId w:val="5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192 342 249,75 руб. – Центральный аппарат;</w:t>
      </w:r>
    </w:p>
    <w:p w:rsidR="00891FE2" w:rsidRDefault="00232317">
      <w:pPr>
        <w:numPr>
          <w:ilvl w:val="0"/>
          <w:numId w:val="5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58 850 007,59 руб. – Депутаты законодательного органа субъекта Ро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ссийской Федерации;</w:t>
      </w:r>
    </w:p>
    <w:p w:rsidR="00891FE2" w:rsidRDefault="00232317">
      <w:pPr>
        <w:numPr>
          <w:ilvl w:val="0"/>
          <w:numId w:val="5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9 941 472,21 руб. –  Освещение деятельности органов государственной власти Рязанской области в средствах массовой информации, печатных изданиях, в информационно-телекоммуникационной сети "Интернет" и др.;</w:t>
      </w:r>
    </w:p>
    <w:p w:rsidR="00891FE2" w:rsidRDefault="00232317">
      <w:pPr>
        <w:numPr>
          <w:ilvl w:val="0"/>
          <w:numId w:val="6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2 756 790,36 руб. – Сенаторы Ро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ссийской Федерации и их помощники; </w:t>
      </w:r>
    </w:p>
    <w:p w:rsidR="00891FE2" w:rsidRDefault="00232317">
      <w:pPr>
        <w:numPr>
          <w:ilvl w:val="0"/>
          <w:numId w:val="6"/>
        </w:numPr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4 260 363,14 руб. – Выполнение других обязательств Рязанской области; </w:t>
      </w:r>
    </w:p>
    <w:p w:rsidR="00891FE2" w:rsidRDefault="00232317">
      <w:pPr>
        <w:numPr>
          <w:ilvl w:val="0"/>
          <w:numId w:val="6"/>
        </w:numPr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93 283,68 руб. – Оплата информационно-статистических услуг, а также услуг по подписке и доставке периодических печатных изданий;</w:t>
      </w:r>
    </w:p>
    <w:p w:rsidR="00891FE2" w:rsidRDefault="00232317">
      <w:pPr>
        <w:numPr>
          <w:ilvl w:val="0"/>
          <w:numId w:val="6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67 599,91 руб. – Про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фессиональная подготовка, переподготовка и повышение квалификации;</w:t>
      </w:r>
    </w:p>
    <w:p w:rsidR="00891FE2" w:rsidRDefault="00232317">
      <w:pPr>
        <w:numPr>
          <w:ilvl w:val="0"/>
          <w:numId w:val="6"/>
        </w:numPr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69 464 554,86 руб. – Обеспечение государственных органов Рязанской области компьютерным оборудованием, оргтехникой, правами использования программного обеспечения для электронных вычислите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льных машин и баз данных, а также техническими и программными средствами для их функционирования, оказание информационных услуг и услуг по технической поддержке программного обеспечения, техническому обслуживанию и ремонту компьютерного оборудования и оргт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ехники;</w:t>
      </w:r>
    </w:p>
    <w:p w:rsidR="00891FE2" w:rsidRDefault="00232317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109 190,70 руб.  – Финансовое обеспечение деятельности Молодежного парламента при Рязанской областной Думе;</w:t>
      </w:r>
    </w:p>
    <w:p w:rsidR="00891FE2" w:rsidRDefault="00232317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1 538 123,41 руб. – Обеспечение 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визитов делегаций органов государственной власти субъекта Российской Федерации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за рубеж.</w:t>
      </w:r>
    </w:p>
    <w:p w:rsidR="00891FE2" w:rsidRDefault="00232317">
      <w:pPr>
        <w:ind w:left="720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left="720" w:hanging="36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 Показатель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исполнения по доходам составил 97,00 %: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 по коду 1 13 02062 02 0000 130 процент исполнения составил 346,69 %. Возмещение коммунальных услуг арендатором, по договору аренды недвижимого имущества и соглашения о порядке осуществления расходов, которые невозм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ожно спланировать;</w:t>
      </w:r>
    </w:p>
    <w:p w:rsidR="00891FE2" w:rsidRDefault="00232317">
      <w:pPr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lastRenderedPageBreak/>
        <w:t>по коду 1 16 07010 02 0000 140 процент исполнения составил 8,20 %.            По данному коду предусмотрено поступление неустойки (штраф, пени) в случае просрочки поставщиком обязательств по государственным контрактам, которые невозможно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спланировать;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по коду 1 16 07090 02 0000 140 процент исполнения составил 0,0%. По данному коду предусмотрено поступление неустойки (штраф, пени) в случае неисполнения поставщиком обязательств по государственным контрактам, которые невозможно спланировать;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по коду 1 16 10056 02 0000 140 процент исполнения составил 0,0%. По данному коду предусмотрены поступления в виде платежей за нарушение законодательства Российской Федерации о контрактной системе в сфере закупок товаров, работ, услуг для обеспечения госуд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арственных и муниципальных нужд  (п. 13, ст. 44, 44-ФЗ), которые невозможно спланировать;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по коду 2 02 45142 02 0000 150 процент исполнения составил 84,83 %. Возмещение расходов, связанных с оплатой труда помощников сенатора Российской Федерации по работе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в субъекте РФ, а также возмещение расходов, связанных с материальным обеспечением деятельности сенатора  Российской Федерации в субъекте РФ.  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Размеры оплаты труда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помощников сенатора Российской Федерации, работающих по срочному трудовому договору, сенатор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устанавливает самостоятельно.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Показатель исполнения по расходам составил 99,09 %.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по коду 0103 99 1 00 00000 000 процент исполнения составил   99,25 %. П</w:t>
      </w:r>
      <w:r>
        <w:rPr>
          <w:rFonts w:ascii="DejaVu Serif" w:eastAsia="DejaVu Serif" w:hAnsi="DejaVu Serif" w:cs="DejaVu Serif"/>
          <w:color w:val="000000"/>
          <w:sz w:val="26"/>
          <w:szCs w:val="26"/>
        </w:rPr>
        <w:t>ри этом сумма  неисполненных назначений составляет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1 986 651,64 руб. Это объясняется рядом причин: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-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оплатой работ «по факту», в соответствии с заключенными контрактами;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экономией в результате проведенных закупочных процедур;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наличием кредиторской задолженности на сумму 566 897,43 руб.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по коду 0113 99 1 00 00000 000 процент исполнения составил 87,68%.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По данному коду производятся единовременные денежные выплаты гражданам в соответствии с Постановлением Рязанской областной Думы от 08.12.2010 № 483-V РОД «Об утверждении Положения о поощрениях Рязанской областной Думы», которые невозможно спланировать;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о данному коду предусмотрено поступления межбюджетных трансфертов на возмещение расходов, связанных с оплатой труда помощников сенатора Российской Федерации по работе в субъекте РФ, а также возмещение расходов, связанных с материальным обеспечением деятель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ности сенатора  Российской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lastRenderedPageBreak/>
        <w:t>Федерации в субъекте РФ.  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Размеры оплаты труда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помощников сенатора Российской Федерации, работающих по срочному трудовому договору, сенатор устанавливает самостоятельно.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по коду 0705 99 1 00 00000 000 процент исполнения составил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46,11%. Это объясняется экономией в результате проведенных закупочных процедур.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 xml:space="preserve">4. Анализ показателей </w:t>
      </w:r>
      <w:proofErr w:type="gramStart"/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бухгалтерской</w:t>
      </w:r>
      <w:proofErr w:type="gramEnd"/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 xml:space="preserve"> отчётности субъекта бюджетной отчетности. </w:t>
      </w:r>
    </w:p>
    <w:p w:rsidR="00891FE2" w:rsidRDefault="00232317">
      <w:pPr>
        <w:ind w:firstLine="72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На 01.01.2026 г. сложилась следующая ситуация по дебиторской и кредиторской задолженности: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 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Дебиторская задолженность – 1 000,00 руб. (ООО "ИМПУЛЬС).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 Кредиторская задолженность – 566 897,43 руб. сложилась: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услуги связи – 69 233,13 руб. (ГФС РФ Отдел, ПАО "Ростелеком", УФПС Рязанской области (АО "Почта России"), ПАО "МТС", ПАО "Мегафон");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тр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анспортные услуги – 19 604,57 руб. (ГКУ РО "Управление делами Правительства Рязанской области");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коммунальные услуги – 359 103,67 руб. (МУП "РМПТС", ООО "Р-ЭНЕРГИЯ");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 арендная плата за пользование имуществом (за исключением земельных участков и других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обособленных природных объектов) – 83 319,03 руб. (ГКУ "Имущественный комплекс Рязанской области");</w:t>
      </w:r>
    </w:p>
    <w:p w:rsidR="00891FE2" w:rsidRDefault="00232317">
      <w:pPr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прочие работы, услуги – 35 637,03 руб. (ООО "</w:t>
      </w:r>
      <w:proofErr w:type="spellStart"/>
      <w:r>
        <w:rPr>
          <w:rFonts w:ascii="DejaVu Serif" w:eastAsia="DejaVu Serif" w:hAnsi="DejaVu Serif" w:cs="DejaVu Serif"/>
          <w:color w:val="000000"/>
          <w:sz w:val="28"/>
          <w:szCs w:val="28"/>
        </w:rPr>
        <w:t>ОнТелеком</w:t>
      </w:r>
      <w:proofErr w:type="spellEnd"/>
      <w:r>
        <w:rPr>
          <w:rFonts w:ascii="DejaVu Serif" w:eastAsia="DejaVu Serif" w:hAnsi="DejaVu Serif" w:cs="DejaVu Serif"/>
          <w:color w:val="000000"/>
          <w:sz w:val="28"/>
          <w:szCs w:val="28"/>
        </w:rPr>
        <w:t>", ООО "ПРОФАУДИТКОНСАЛТ").</w:t>
      </w:r>
    </w:p>
    <w:p w:rsidR="00891FE2" w:rsidRDefault="00232317">
      <w:pPr>
        <w:ind w:firstLine="700"/>
        <w:jc w:val="both"/>
        <w:rPr>
          <w:color w:val="000000"/>
        </w:rPr>
      </w:pP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В форме 0503110 не детализированы ЦСР по счету 1 401 20 000 в корреспон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денции со счетом 1 401 60 000 (резерв отпусков на 2026 год) на сумму 10 688 535,94 руб.:</w:t>
      </w:r>
      <w:proofErr w:type="gramEnd"/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0103 99 1 00 09030 121 – 7 291 155,48 руб.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0103 99 1 00 09030 129 – 2 200 569,95 руб.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0103 99 1 00 09070 121 – 891 922,10 руб.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0103 99 1 00 09070 129 – 262 235,94 ру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б.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0103 99 1 00 51420 121 – 32 763,63 руб.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0103 99 1 00 51420 129 – 9 888,84 руб.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700"/>
        <w:jc w:val="both"/>
        <w:rPr>
          <w:color w:val="000000"/>
        </w:rPr>
      </w:pP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lastRenderedPageBreak/>
        <w:t>В форме 0503123 (раздел 4) КБК не соответствуют перечню допустимых соответствий раздел/подраздел – вид расходов в сумме 1 009 784,64 руб. По данному КБК производятся пере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числения денежного вознаграждения к Почетной грамоте, благодарности Рязанской областной Думы.</w:t>
      </w:r>
      <w:proofErr w:type="gramEnd"/>
    </w:p>
    <w:p w:rsidR="00891FE2" w:rsidRDefault="00232317">
      <w:pPr>
        <w:ind w:firstLine="700"/>
        <w:jc w:val="both"/>
        <w:rPr>
          <w:color w:val="000000"/>
        </w:rPr>
      </w:pP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В форме 0503169 сумма кредиторской задолженности на конец предыдущего отчетного года не соответствует сумме кредиторской задолженности на начало отчетного года на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сумму 11 216,29 руб. Это связано с тем, что начиная с бюджетов на 2025 год расходы бюджетов на оплату договоров холодного водоснабжения отражаются по коду вида расходов бюджетной классификации Российской Федерации 247 «Закупка энергетических ресурсов» (пр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иказ Минфина Российской Федерации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от 24.02.2022 № 82н).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В форме 0503175 (табл. 1) «Сведения о неисполненных бюджетных обязательствах» иные причины отклонения по коду 99 связаны 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с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>: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оплатой кредиторской задолженности за декабрь 2025 года;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оплатой работ "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по факту";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- экономией по фонду оплаты труда.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В форме 0503175 (табл. 2) «Сведения о неисполненных денежных обязательствах» иные причины отклонения по коду 75 связаны с оплатой кредиторской задолженности за декабрь 2025 года. 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В форме 0503324 (табл. 1)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остаток на конец отчетного периода составляет -0,02 руб. Из федерального бюджета поступило межбюджетных трансфертов на сумму 2 756 790,34 руб., кассовый расход составил 2 756 790,36 руб.  Это связано с технической ошибкой при начислении страховых взносов п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о травматизму.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 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 xml:space="preserve">5. Прочие вопросы деятельности субъекта бюджетной отчетности. </w:t>
      </w:r>
    </w:p>
    <w:p w:rsidR="00891FE2" w:rsidRDefault="00232317">
      <w:pPr>
        <w:ind w:firstLine="540"/>
        <w:jc w:val="both"/>
        <w:rPr>
          <w:color w:val="000000"/>
        </w:rPr>
      </w:pP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В соответствии с пунктами 81, 82 федерального стандарта бухгалтерского учета для организаций государственного сектора «Концептуальные основы бухгалтерского учета и отчетности 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рганизаций государственного сектора», утвержденного приказом Минфина России от 31.12.2016 № 256н и решением о проведении инвентаризации № 8 от 30.12.2025г. была проведена инвентаризация показателей расчетов (дебиторской задолженности и обязательств) по сос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тоянию на 01.01.2026 г.</w:t>
      </w:r>
      <w:proofErr w:type="gramEnd"/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• расчетов по поступлениям (доходы);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• остатков на счетах учета денежных средств (средства во временном распоряжении);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• наличных денежных средств;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• расчетов с покупателями, поставщиками прочими дебиторами и кредиторами;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lastRenderedPageBreak/>
        <w:t xml:space="preserve">• 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проведение выверки имеющихся правоустанавливающих документов на каждый земельный участок, находящийся в пользовании и учитываемый в составе непроизведенных активов, с данными бюджетного учета и данными Единого государственного реестра недвижимости.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Просроч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енная задолженность и с истекшим сроком исковой давности отсутствует. Актуализированы данные бухгалтерского учета показателей расчетов (дебиторской задолженности и обязательств) в разрезе контрагентов, правовых оснований и даты исполнения, что  подтверждае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тся актам сверки.</w:t>
      </w:r>
    </w:p>
    <w:p w:rsidR="00891FE2" w:rsidRDefault="00232317">
      <w:pPr>
        <w:ind w:firstLine="540"/>
        <w:jc w:val="both"/>
        <w:rPr>
          <w:color w:val="000000"/>
        </w:rPr>
      </w:pP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В отношении дебиторской задолженности по доходам (штраф на сумму   1 000,00 руб. за неисполнение государственного контракта от 20.09.2024       № 08592000011240103740001 на поставку жидкого мыла, ООО "ИМПУЛЬС") 14 октября 2025 года Рязанс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кой областной Думой подано исковое заявление в Арбитражный суд Рязанской области. 15 декабря 2025 года Арбитражным судом Рязанской области вынесено решение об удовлетворении иска в пользу Рязанской областной Думы полностью.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Ведется работа по организации ис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полнения решения Арбитражного суда  Рязанской области.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Излишков, недостач не обнаружено. Все соответствует данным бухгалтерского учета, лицевым счетам федерального казначейства, актам сверки с дебиторами и кредиторами, Единому государственному реестру недв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ижимости.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Распоряжением Председателя Рязанской областной Думы от 05.12.2025  № 63-р/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в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«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Об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инвентаризации нефинансовых активов» решением о проведении инвентаризации № 7 от 08.12.2025 была проведена плановая инвентаризация нефинансовых активов. Излишков и не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достач не обнаружено. По результатам инвентаризации комиссия пришла к выводу, что некоторые объекты нефинансовых активов, утратили свои потребительские качества. В связи с тем, что остаточная стоимость данных активов равна нулю, комиссия пришла к выводу сп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исать с учета эти объекты в 2025 году. Признаков обесценения по другим активам не выявлено.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Каждому депутату Рязанской областной Думы в соответствии с Законом Рязанской области от 25.06.2010 № 57-ОЗ «О статусе депутата Рязанской областной Думы» (статья 25)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установлен месячный фонд оплаты труда помощников в размере 75 468,00 руб. 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В 2025 году внутренний финансовый аудит осуществлялся председателем Комитета Рязанской областной думы по бюджету и налогам (далее – Аудитор). Аудитор подчиняется Председателю Рязан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ской областной думы.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lastRenderedPageBreak/>
        <w:t>Плановые аудиторские проверки осуществлялись в соответствии с Распоряжением Председателя Рязанской областной Думы от 24.12.2024        № 60-р/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в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«</w:t>
      </w:r>
      <w:proofErr w:type="gramStart"/>
      <w:r>
        <w:rPr>
          <w:rFonts w:ascii="DejaVu Serif" w:eastAsia="DejaVu Serif" w:hAnsi="DejaVu Serif" w:cs="DejaVu Serif"/>
          <w:color w:val="000000"/>
          <w:sz w:val="28"/>
          <w:szCs w:val="28"/>
        </w:rPr>
        <w:t>О</w:t>
      </w:r>
      <w:proofErr w:type="gramEnd"/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 плане аудиторских мероприятий на 2025 год»: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• Проверка состояния достоверности документо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в, подтверждающих фактический срок пребывания командированного лица в служебной командировке, при отсутствии проездных билетов и соответствия выплат сотрудникам Рязанской областной Думы за период их нахождения в служебных командировках на территории Херсон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ской области. 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• Проверка проведения закупки и заключения контракта путем проведения электронного запроса котировок.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• Документальное оформление награждения сувенирной продукцией Рязанской областной Думы юридических лиц.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Вся документация (по каждой проверк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е) сшита аудитором в отдельную папку (листы пронумерованы). Копии выводов  переданы в проверяемые структурные подразделения. 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В соответствии с Приказом Министерства финансов РФ от 28.12.2010   № 191н  формы 0503125, 0503166, 0503167, 0503171, 0503172, 0503</w:t>
      </w:r>
      <w:r>
        <w:rPr>
          <w:rFonts w:ascii="DejaVu Serif" w:eastAsia="DejaVu Serif" w:hAnsi="DejaVu Serif" w:cs="DejaVu Serif"/>
          <w:color w:val="000000"/>
          <w:sz w:val="28"/>
          <w:szCs w:val="28"/>
        </w:rPr>
        <w:t>173, 0503174, 0503178, 0503190, 0503296, 0503324, 0503110 (расшифровка), 0503160 (табл. 15), не имеющие числовых значений, в составе бюджетной отчетности за 2025 год не предоставляются.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54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ind w:firstLine="700"/>
        <w:jc w:val="both"/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891FE2" w:rsidRDefault="00232317">
      <w:pPr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 xml:space="preserve">         </w:t>
      </w:r>
    </w:p>
    <w:p w:rsidR="00891FE2" w:rsidRDefault="00232317">
      <w:pPr>
        <w:rPr>
          <w:color w:val="000000"/>
        </w:rPr>
      </w:pPr>
      <w:r>
        <w:rPr>
          <w:rFonts w:ascii="DejaVu Serif" w:eastAsia="DejaVu Serif" w:hAnsi="DejaVu Serif" w:cs="DejaVu Serif"/>
          <w:color w:val="000000"/>
          <w:sz w:val="24"/>
          <w:szCs w:val="24"/>
        </w:rPr>
        <w:t> </w:t>
      </w:r>
    </w:p>
    <w:p w:rsidR="00891FE2" w:rsidRDefault="00232317">
      <w:r>
        <w:t> </w:t>
      </w:r>
    </w:p>
    <w:p w:rsidR="00891FE2" w:rsidRDefault="0023231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523"/>
      </w:tblGrid>
      <w:tr w:rsidR="00891FE2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891FE2"/>
        </w:tc>
      </w:tr>
      <w:tr w:rsidR="00891FE2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(расшифровка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подписи)</w:t>
            </w:r>
          </w:p>
        </w:tc>
      </w:tr>
      <w:tr w:rsidR="00891FE2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1FE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Васюкова Екатерина Александровна</w:t>
            </w:r>
          </w:p>
        </w:tc>
      </w:tr>
      <w:tr w:rsidR="00891FE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91FE2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</w:tr>
      <w:tr w:rsidR="00891FE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FE2" w:rsidRDefault="00891FE2">
            <w:pPr>
              <w:rPr>
                <w:sz w:val="24"/>
              </w:rPr>
            </w:pPr>
          </w:p>
        </w:tc>
      </w:tr>
      <w:tr w:rsidR="00891FE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91FE2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2323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891FE2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1FE2" w:rsidRDefault="00891FE2">
            <w:pPr>
              <w:rPr>
                <w:sz w:val="24"/>
              </w:rPr>
            </w:pPr>
          </w:p>
        </w:tc>
      </w:tr>
    </w:tbl>
    <w:p w:rsidR="00891FE2" w:rsidRDefault="00232317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t>Дата представления 20.01.2026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Васюкова Екатерина Александровна, Сертификат: 5456EE8CF20AF2B41A8883CA71C25AF7, Действителен: с 13.03.2025 по 06.06.2026), 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Шевырев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Александр Павлович, Сертификат: 00DA45CA150AAADCDD1507100159C7A8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22, Действителен: с 13.03.2025 по 06.06.2026), Руководитель финансово-экономической службы(Васюкова Екатерина Александровна, Сертификат: 5456EE8CF20AF2B41A8883CA71C25AF7, Действителен: с 13.03.2025 по 06.06.2026)        </w:t>
      </w:r>
    </w:p>
    <w:sectPr w:rsidR="00891FE2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DejaVu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D6D"/>
    <w:multiLevelType w:val="hybridMultilevel"/>
    <w:tmpl w:val="4DE6BE98"/>
    <w:lvl w:ilvl="0" w:tplc="1F781FF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79BE1DD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086F4E3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41C6F5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6896CEE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BB6829A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9F46BD0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5FC1CC65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034AD919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>
    <w:nsid w:val="5AF368DF"/>
    <w:multiLevelType w:val="hybridMultilevel"/>
    <w:tmpl w:val="795060E0"/>
    <w:lvl w:ilvl="0" w:tplc="71F810D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198DFE67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64BFEABD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160758DB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DB859B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0E5CCF5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3268CDE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1138EB9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6FEF447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">
    <w:nsid w:val="5E1C56B2"/>
    <w:multiLevelType w:val="hybridMultilevel"/>
    <w:tmpl w:val="32E6E786"/>
    <w:lvl w:ilvl="0" w:tplc="2FA4CB6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5646A220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5FE1F4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E317294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191A6B1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80233F7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9D750F8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0058B41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0397E7BB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3">
    <w:nsid w:val="5FBE60BB"/>
    <w:multiLevelType w:val="hybridMultilevel"/>
    <w:tmpl w:val="E05241BC"/>
    <w:lvl w:ilvl="0" w:tplc="6310DF13">
      <w:numFmt w:val="bullet"/>
      <w:lvlText w:val="·"/>
      <w:lvlJc w:val="left"/>
      <w:rPr>
        <w:rFonts w:ascii="Symbol" w:eastAsia="Symbol" w:hAnsi="Symbol" w:cs="Symbol"/>
      </w:rPr>
    </w:lvl>
    <w:lvl w:ilvl="1" w:tplc="3123EA5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308CBA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1A4F3AA2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9F59EB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402FE39C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733FCA75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6FAA48A9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69F37A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4">
    <w:nsid w:val="6AC42BB0"/>
    <w:multiLevelType w:val="hybridMultilevel"/>
    <w:tmpl w:val="17A8D392"/>
    <w:lvl w:ilvl="0" w:tplc="76D5571B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2A092875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6325C39C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A2D1B3E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3A39FA9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4464E62A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68C5097D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17524ADA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3FB50ED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5">
    <w:nsid w:val="75D7D3C3"/>
    <w:multiLevelType w:val="hybridMultilevel"/>
    <w:tmpl w:val="D0BC6B56"/>
    <w:lvl w:ilvl="0" w:tplc="158460D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62F4406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456DD03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C286E30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1CA47BE7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550FEB3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7BBD28C2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158C205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D27BA4D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6">
    <w:nsid w:val="78B8139D"/>
    <w:multiLevelType w:val="hybridMultilevel"/>
    <w:tmpl w:val="D186AAC2"/>
    <w:lvl w:ilvl="0" w:tplc="267F792F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325A6DF2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EB146E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334A19AA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0DCAF60F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6A8D0AFC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710EC5EE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5068256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640E2603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FE2"/>
    <w:rsid w:val="00232317"/>
    <w:rsid w:val="0089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jaVu San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2814</Words>
  <Characters>16045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websvod2/www-data</dc:creator>
  <cp:lastModifiedBy>Ирина Григорьевна Картушина</cp:lastModifiedBy>
  <cp:revision>2</cp:revision>
  <dcterms:created xsi:type="dcterms:W3CDTF">2026-02-24T12:23:00Z</dcterms:created>
  <dcterms:modified xsi:type="dcterms:W3CDTF">2026-02-24T12:23:00Z</dcterms:modified>
</cp:coreProperties>
</file>